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5468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4683" w:rsidRDefault="009413CF">
            <w:pPr>
              <w:spacing w:after="0" w:line="240" w:lineRule="auto"/>
            </w:pPr>
            <w:bookmarkStart w:id="0" w:name="_GoBack" w:colFirst="1" w:colLast="1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54683" w:rsidRDefault="009413CF">
            <w:pPr>
              <w:spacing w:after="0" w:line="240" w:lineRule="auto"/>
            </w:pPr>
            <w:r>
              <w:t>11404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4683" w:rsidRDefault="009413C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54683" w:rsidRDefault="009413CF">
            <w:pPr>
              <w:spacing w:after="0" w:line="240" w:lineRule="auto"/>
            </w:pPr>
            <w:r>
              <w:t xml:space="preserve">Osnovna škola </w:t>
            </w:r>
            <w:proofErr w:type="spellStart"/>
            <w:r>
              <w:t>Fran</w:t>
            </w:r>
            <w:proofErr w:type="spellEnd"/>
            <w:r>
              <w:t xml:space="preserve"> </w:t>
            </w:r>
            <w:proofErr w:type="spellStart"/>
            <w:r>
              <w:t>Franković</w:t>
            </w:r>
            <w:proofErr w:type="spellEnd"/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54683" w:rsidRDefault="009413C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54683" w:rsidRDefault="009413CF">
            <w:pPr>
              <w:spacing w:after="0" w:line="240" w:lineRule="auto"/>
            </w:pPr>
            <w:r>
              <w:t>31</w:t>
            </w:r>
          </w:p>
        </w:tc>
      </w:tr>
    </w:tbl>
    <w:bookmarkEnd w:id="0"/>
    <w:p w:rsidR="00054683" w:rsidRDefault="009413CF">
      <w:r>
        <w:br/>
      </w:r>
    </w:p>
    <w:p w:rsidR="00054683" w:rsidRDefault="009413C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54683" w:rsidRDefault="009413C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54683" w:rsidRDefault="009413C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2.337.572,84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2.555.480,60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2.322.187,19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2.663.789,70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108.309,10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24.923,39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27.256,62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24.923,39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27.256,62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109,4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9.537,74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135.565,72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1421,4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rPr>
          <w:b/>
        </w:rPr>
        <w:t>PRIHOD</w:t>
      </w:r>
    </w:p>
    <w:p w:rsidR="00054683" w:rsidRDefault="009413CF">
      <w:pPr>
        <w:jc w:val="both"/>
      </w:pPr>
      <w:r>
        <w:t xml:space="preserve">Osnovna škola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Franković</w:t>
      </w:r>
      <w:proofErr w:type="spellEnd"/>
      <w:r>
        <w:t xml:space="preserve"> je u izvještajnom razdoblju ostvarila ukupne prihode od 2.555.480,60 eura, što predstavlja povećanje za 9,30% u odnosu na prošlu godinu. Rast, odnosno ostvarenje većih prihoda u izvještajnom razdoblju najvećim djelom uzrokovan </w:t>
      </w:r>
      <w:r>
        <w:t xml:space="preserve">je rastom plaća zaposlenih u školstvu (rast osnovice za obračun plaće u veljači i rujnu izvještajne godine, rast prekovremenih sati). U izvještajnom razdoblju ostvaren je prihod u iznosu </w:t>
      </w:r>
      <w:r>
        <w:lastRenderedPageBreak/>
        <w:t xml:space="preserve">od  17.065.09 eura, od strane EU a odnosi se na provođenje projekta </w:t>
      </w:r>
      <w:proofErr w:type="spellStart"/>
      <w:r>
        <w:t>R</w:t>
      </w:r>
      <w:r>
        <w:t>inkluzija</w:t>
      </w:r>
      <w:proofErr w:type="spellEnd"/>
      <w:r>
        <w:t xml:space="preserve"> 8 – Riječki model podrške učenicima s poteškoćama – EU. U okviru podskupine 663  Donacije od pravnih i fizičkih osoba izvan općeg proračuna te povrat donacija i kapitalnih pomoći po protestiranim jamstvima (šifre 6631 do 6634) ostvaren je prihod </w:t>
      </w:r>
      <w:r>
        <w:t>u iznosu od 5.837,72 eura što predstavlja rast od 114,80% u odnosu na prošlu godinu.  Ostvarene su tekuće donacije u iznosu od  3.871.23 eura, te kapitalne donacije u iznosu od  1.966.49 eura. U okviru skupine 67  Prihodi iz nadležnog proračuna i od HZZO-a</w:t>
      </w:r>
      <w:r>
        <w:t xml:space="preserve"> na temelju ugovornih obveza (šifre 671+673) škola je ostvarila  263.120.32 eura, što predstavlja povećanje od 17,00% u odnosu na prošlu godinu. Porast u okviru skupine 67 uzrokovan je rastom plaća učiteljica u produženom boravku, te najvećim dijelom zbog </w:t>
      </w:r>
      <w:r>
        <w:t>osiguravanja prihoda za mjere sigurnosti i opremanje učionica. Prihodi iz nadležnog proračuna za financiranje rashoda za nabavu nefinancijske imovine u izvještajnom razdoblju ostvareni su u iznosu od 17.730,73 eura što je za 128,80% više nego u istom razdo</w:t>
      </w:r>
      <w:r>
        <w:t>blju prošle godine. Razlog povećanja je nabava nefinancijske imovine tj. opreme u okviru provođenja mjera sigurnosti u školama u iznosu od 3.349,35 eura, te nabavka školskih stolica i klupa u iznosu od 14.381,38 eura.  </w:t>
      </w:r>
    </w:p>
    <w:p w:rsidR="00054683" w:rsidRDefault="009413CF">
      <w:r>
        <w:rPr>
          <w:b/>
        </w:rPr>
        <w:t>RASHOD</w:t>
      </w:r>
    </w:p>
    <w:p w:rsidR="00054683" w:rsidRDefault="009413CF">
      <w:pPr>
        <w:jc w:val="both"/>
      </w:pPr>
      <w:r>
        <w:t>U izvještajnom razdoblju škol</w:t>
      </w:r>
      <w:r>
        <w:t>a je ostvarila ukupne rashode u iznosu od 2.663.789,70 eura, što je za 14,70% više u odnosu na isto razdoblje prošle godine. Razlozi povećanja rashoda su kao i kod povećanja prihoda (rast plaća, rast prekovremenih). Razlika je u tome što je rast rashoda uz</w:t>
      </w:r>
      <w:r>
        <w:t>rokovan i promjenama Pravilnika o proračunskom računovodstvu i računskom planu. U izvještajnom razdoblju ostvaren je rashod za 13 plaća. Ukupni rashod za nabavu nefinancijske imovine ostvaren je u  iznosu od 27.256,62 eura, što je za 9,40% više nego u isto</w:t>
      </w:r>
      <w:r>
        <w:t>m razdoblju prošle godine. Razlog povećanja je opremanje knjižnice, provođenje mjera sigurnosti u školama, u okviru kojih je i nabavljena oprema, te nabavka školskih stolica i klupa u iznosu od 14.381,38 eura.  </w:t>
      </w:r>
    </w:p>
    <w:p w:rsidR="00054683" w:rsidRDefault="009413CF">
      <w:r>
        <w:rPr>
          <w:b/>
        </w:rPr>
        <w:t>MANJAK PRIHODA POSLOVANJA</w:t>
      </w:r>
    </w:p>
    <w:p w:rsidR="00054683" w:rsidRDefault="009413CF">
      <w:pPr>
        <w:jc w:val="both"/>
      </w:pPr>
      <w:r>
        <w:t>Ukupni manjak prih</w:t>
      </w:r>
      <w:r>
        <w:t>oda i primitaka poslovanja u izvještajnom razdoblju iznosi 135.565,73 eura. Na manjak prihoda od nefinancijske imovine odnosi se 27.256,62 eura, a na manjak prihoda poslovanja odnosi se 108.309,10 eura. </w:t>
      </w:r>
    </w:p>
    <w:p w:rsidR="00054683" w:rsidRDefault="009413CF">
      <w:pPr>
        <w:jc w:val="both"/>
      </w:pPr>
      <w:r>
        <w:t>Preneseni višak poslovanja iz prethodnog razdoblja i</w:t>
      </w:r>
      <w:r>
        <w:t xml:space="preserve">znosi  1.578.99 eura, manjak izvještajnog razdoblja 135.565,72 eura, šta daje stanje na </w:t>
      </w:r>
      <w:proofErr w:type="spellStart"/>
      <w:r>
        <w:t>na</w:t>
      </w:r>
      <w:proofErr w:type="spellEnd"/>
      <w:r>
        <w:t xml:space="preserve"> dan 31.12.2025. od 133.986,73 eura manjka prihoda za pokriće rashoda (rashodi za zaposlene 12/2025, materijalni rashodi i rashodi za usluge koji će biti  plaćeni poč</w:t>
      </w:r>
      <w:r>
        <w:t>etkom 2026. godine.</w:t>
      </w:r>
    </w:p>
    <w:p w:rsidR="00054683" w:rsidRDefault="009413CF">
      <w:r>
        <w:br/>
      </w:r>
    </w:p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2.337.572,84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2.555.480,60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lastRenderedPageBreak/>
        <w:t xml:space="preserve">Osnovna škola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Franković</w:t>
      </w:r>
      <w:proofErr w:type="spellEnd"/>
      <w:r>
        <w:t xml:space="preserve"> je u izvještajnom razdoblju ostvarila ukupne prihode od 2.555.480,60 eura, što predstavlja povećanje za 9,30% u odnosu na prošlu godinu. Rast, odnosno ostvarenje većih prihoda u izvještajnom razdoblju najvećim djelom uzrokovan </w:t>
      </w:r>
      <w:r>
        <w:t>je rastom plaća zaposlenih u školstvu (rast osnovice za obračun plaće u veljači i rujnu izvještajne godine, rast prekovremenih sati).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8.723,14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5.823,20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66,8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 xml:space="preserve">Osnovna škola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Franković</w:t>
      </w:r>
      <w:proofErr w:type="spellEnd"/>
      <w:r>
        <w:t xml:space="preserve"> je u izvještajnom razdoblju ostvarila prihode 5.823,20 eura za nabavku trajnih udžbenika za učenike od 1. do 8. razreda te za nabavku lektire za školsku knjižnicu. U odnosu na prethodnu godinu prihod je smanjen za 33,20%.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</w:t>
      </w:r>
      <w:r>
        <w:rPr>
          <w:sz w:val="28"/>
        </w:rPr>
        <w:t>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17.065,09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 xml:space="preserve">U izvještajnom razdoblju ostvaren je prihod u iznosu od 17.065.09 eura, od strane EU a odnosi se na provođenje projekta </w:t>
      </w:r>
      <w:proofErr w:type="spellStart"/>
      <w:r>
        <w:t>Rinkluzija</w:t>
      </w:r>
      <w:proofErr w:type="spellEnd"/>
      <w:r>
        <w:t xml:space="preserve"> 8 – Riječki model podrške učenicima s poteškoćama – EU. 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3.918,51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 okviru skupine 661 Prihodi od prodaje proizvoda i robe te pruženih usluga (šifre 6614+6615) škola ostvaruje prihode od prodaje proizvoda školske zadruge Drenova te od najma sportske dvorane i učionica.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kapitalnih pomoći po protestiranim jamstvima (šifre 6631 do </w:t>
            </w:r>
            <w:r>
              <w:rPr>
                <w:sz w:val="18"/>
              </w:rPr>
              <w:t>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2.717,98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5.837,72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214,8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 okviru podskupine 663  Donacije od pravnih i fizičkih osoba izvan općeg proračuna te povrat donacija i kapitalnih pomoći po protestiranim jamstvima (šifre 6631 do 6634) ostvaren je prihod u iznosu od 5.837,72 eura što predstavlja rast od 114,80% u odnosu</w:t>
      </w:r>
      <w:r>
        <w:t xml:space="preserve"> na prošlu godinu.  Ostvarene su tekuće donacije u iznosu od  3.871.23 eura, te kapitalne donacije u iznosu od  1.966.49 eura.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</w:t>
            </w:r>
            <w:r>
              <w:rPr>
                <w:b/>
                <w:sz w:val="18"/>
              </w:rPr>
              <w:t>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224.868,24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263.120,32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 okviru skupine 67  Prihodi iz nadležnog proračuna i od HZZO-a na temelju ugovornih obveza (šifre 671+673) škola je ostvarila  263.120.32 eura, što predstavlja povećanje od 17,00% u odnosu na prošlu godinu. Porast u okviru skupine 67 uzrokovan je rastom p</w:t>
      </w:r>
      <w:r>
        <w:t xml:space="preserve">laća učiteljica u produženom boravku, te </w:t>
      </w:r>
      <w:proofErr w:type="spellStart"/>
      <w:r>
        <w:t>njavećim</w:t>
      </w:r>
      <w:proofErr w:type="spellEnd"/>
      <w:r>
        <w:t xml:space="preserve"> djelom zbog osiguravanja prihoda za mjere sigurnosti i opremanje učionica.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7.751,00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17.730,73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228,8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Prihodi iz nadležnog proračuna za financiranje rashoda za nabavu nefinancijske imovine u izvještajnom razdoblju ostvareni su u iznosu od 17.730,73 eura što je za 128,80% više nego u istom razdoblju prošle godine. Razlog povećanja je nabava nefinancijske im</w:t>
      </w:r>
      <w:r>
        <w:t>ovine tj. opreme u okviru provođenja mjera sigurnosti u školama u iznosu od 3.349,35 eura, te nabavka školskih stolica i klupa u iznosu od 14.381,38 eura.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2.322.187,19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2.663.789,70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 xml:space="preserve">U izvještajnom razdoblju škola je ostvarila ukupne rashode u iznosu od 2.663.789,70 eura, što je za 14,70% više u odnosu na isto razdoblje prošle godine. Razlozi povećanja rashoda su kao i kod povećanja prihoda (rast plaća, rast prekovremenih). Razlika je </w:t>
      </w:r>
      <w:r>
        <w:t>u tome što je rast rashoda uzrokovan i promjenama Pravilnika o proračunskom računovodstvu i računskom planu. U izvještajnom razdoblju ostvaren je rashod za 13 plaća.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39.400,94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67.486,86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171,3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 izvještajnom razdoblju ostvareni su rashodi Plaće za prekovremeni rad u iznosu od 67.486,86 eura, što predstavlja značajno povećanje (71,30%) u odnosu na prošlu godinu. Razlozi povećanja su velik broj zamjena u nastavi zbog privremenih nesposobnosti za r</w:t>
      </w:r>
      <w:r>
        <w:t>ad, izleta, terenske nastave, natjecanja, te deficita određenih učiteljskih zanimanja.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posebne uvjete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48.656,02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58.874,28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 izvještajnom razdoblju ostvareni su rashodi Plaće za posebne uvjete rada u iznosu od 58.874,28 eura, odnosno 21,00% više u odnosu na prošlu godinu. Razlozi povećanja su smjenski rad te rast broj učenika sa prilagodbom programa.</w:t>
      </w:r>
    </w:p>
    <w:p w:rsidR="00054683" w:rsidRDefault="009413CF">
      <w:r>
        <w:t> 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30.300,79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40.750,31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 izvještajnom razdoblju ostvaren je rast naknada za prijevoz, za rad na terenu i odvojeni život od 34,50% kojeg je uvjetovao rast cijena autobusnih karti od 01.01.2025.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13.538,15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324,4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 xml:space="preserve">U izvještajnom razdoblju ostvaren je veliki rast Usluga tekućeg i investicijskog održavanja od 224,40% u odnosu na prošlu godinu. Razlog povećanja je provođenje mjera sigurnosti u školama u okviru kojih su nabavljene neke usluge tekućeg i </w:t>
      </w:r>
      <w:proofErr w:type="spellStart"/>
      <w:r>
        <w:t>investivijskog</w:t>
      </w:r>
      <w:proofErr w:type="spellEnd"/>
      <w:r>
        <w:t xml:space="preserve"> od</w:t>
      </w:r>
      <w:r>
        <w:t xml:space="preserve">ržavanja. Također je popravljena kuhinjska </w:t>
      </w:r>
      <w:proofErr w:type="spellStart"/>
      <w:r>
        <w:t>napa</w:t>
      </w:r>
      <w:proofErr w:type="spellEnd"/>
      <w:r>
        <w:t xml:space="preserve"> u vrijednosti 4.062,50 eura.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r>
              <w:rPr>
                <w:sz w:val="18"/>
              </w:rPr>
              <w:t>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60.744,22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53.702,65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88,4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 izvještajnom razdoblju u okviru skupine 37 Naknade građanima i kućanstvima na temelju osiguranja i druge naknade (šifre 371+372) škola je ostvarila manje rashode za 11,60% u odnosu na prošlu godinu. To su rashodi koji se odnose na kupnju radnih bilježnic</w:t>
      </w:r>
      <w:r>
        <w:t>a i radnih udžbenika. 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108.309,10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Ukupni manjak prihoda i primitaka poslovanja u izvještajnom razdoblju iznosi 135.565,73 eura. Na manjak prihoda od nefinancijske imovine odnosi se 27.256,62 eura, a na manjak prihoda poslovanja odnosi se 108.309,10 eura. </w:t>
      </w:r>
    </w:p>
    <w:p w:rsidR="00054683" w:rsidRDefault="009413CF">
      <w:pPr>
        <w:jc w:val="both"/>
      </w:pPr>
      <w:r>
        <w:lastRenderedPageBreak/>
        <w:t>Preneseni višak poslovanja iz pret</w:t>
      </w:r>
      <w:r>
        <w:t xml:space="preserve">hodnog razdoblja iznosi  1.578.99 eura, manjak izvještajnog razdoblja 135.565,72 eura, šta daje stanje na </w:t>
      </w:r>
      <w:proofErr w:type="spellStart"/>
      <w:r>
        <w:t>na</w:t>
      </w:r>
      <w:proofErr w:type="spellEnd"/>
      <w:r>
        <w:t xml:space="preserve"> dan 31.12.2025. od 133.986,73 eura manjka prihoda za pokriće rashoda (rashodi za zaposlene 12/2025, materijalni rashodi i rashodi za usluge koji će</w:t>
      </w:r>
      <w:r>
        <w:t xml:space="preserve"> biti  plaćeni početkom 2026. godine.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9.537,74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135.565,72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1421,4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Ukupni manjak prihoda i primitaka poslovanja u izvještajnom razdoblju iznosi 135.565,73 eura. Na manjak prihoda od nefinancijske imovine odnosi se 27.256,62 eura, a na manjak prihoda poslovanja odnosi se 108.309,10 eura. </w:t>
      </w:r>
    </w:p>
    <w:p w:rsidR="00054683" w:rsidRDefault="009413CF">
      <w:pPr>
        <w:jc w:val="both"/>
      </w:pPr>
      <w:r>
        <w:t xml:space="preserve">Preneseni višak poslovanja iz prethodnog razdoblja iznosi  1.578.99 eura, manjak izvještajnog razdoblja 135.565,72 eura, šta daje stanje na </w:t>
      </w:r>
      <w:proofErr w:type="spellStart"/>
      <w:r>
        <w:t>na</w:t>
      </w:r>
      <w:proofErr w:type="spellEnd"/>
      <w:r>
        <w:t xml:space="preserve"> dan 31.12.2025. od 133.986,73 eura manjka prihoda za pokriće rashoda (rashodi za zaposlene 12/2025, materijalni r</w:t>
      </w:r>
      <w:r>
        <w:t>ashodi i rashodi za usluge koji će biti  plaćeni početkom 2026. godine.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324.993,63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389.213,15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 xml:space="preserve">Ukupna imovina škole na dan 31.12.2025. iznosi 389.213,15 eura, što predstavlja povećanje za 19,80% u odnosu na isto razdoblje prošle godine. Povećanje ukupne imovine škole najvećim dijelom uzrokovano je povećanjem </w:t>
      </w:r>
      <w:proofErr w:type="spellStart"/>
      <w:r>
        <w:t>financijse</w:t>
      </w:r>
      <w:proofErr w:type="spellEnd"/>
      <w:r>
        <w:t xml:space="preserve"> imovine škole koja se u bilanc</w:t>
      </w:r>
      <w:r>
        <w:t>i nalazi pod skupinom 1.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118.925,86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113.356,89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Ukupna nefinancijska imovina škole na dan 31.12.2025. u odnosu na prošlu godinu smanjena je za 4,70%.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7.751,00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11.100,35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143,2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Povećanje Opreme za održavanje i zaštitu uzrokovano nabavkom opreme u okviru mjera sigurnosti koje je škola provodila tijekom 2025. godine. U okviru tih istih mjera nabavljena je oprema u iznosu od 3.349,35 eura.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161.555,67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174.975,56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Povećanje na šifri 0227 Uređaji, strojevi i oprema za ostale namjene uzrokovanu nabavkom školskih stolica i klupa u iznosu od 14.381,38 eura.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206.067,77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275.856,26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133,9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Na kraju izvještajnog razdoblja stanje financijske imovine škole iznosi 275.856,26 eura, što ukazuje na povećanje od 33,90%. Ovo povećanje u najvećem dijelu uzrokovalo je i povećanje ukupne imovine škole.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1.339,57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 xml:space="preserve">Na dan 31.12.2025. škola ima stanje Potraživanja za više plaćene poreze i doprinose u iznosu od 1.339,57 eura. U prošlom izvještajnom razdoblju škola nije imala ovakvih potraživanja. Tu </w:t>
      </w:r>
      <w:r>
        <w:lastRenderedPageBreak/>
        <w:t>se radi o naknadno priznatoj ozljedi na radu učiteljici Roberti Kelava</w:t>
      </w:r>
      <w:r>
        <w:t>, zbog čega su odrađeni korektivni obračuni za kolovoz i rujan.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iz inozemstva i od subjekata unutar općeg proračuna (šifre </w:t>
            </w:r>
            <w:r>
              <w:rPr>
                <w:sz w:val="18"/>
              </w:rPr>
              <w:t>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165.136,00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Škola ima stanje na podskupini 163 Potraživanja za pomoći iz inozemstva i od subjekata unutar općeg proračuna (šifre 1631 do 1638) u iznosu od 165.136,00 eura zbog nove sheme knjiženje od 01.01.2025. - pomoći unutar općeg proračuna.</w:t>
      </w:r>
    </w:p>
    <w:p w:rsidR="00054683" w:rsidRDefault="009413CF">
      <w:pPr>
        <w:jc w:val="both"/>
      </w:pPr>
      <w:r>
        <w:t> </w:t>
      </w:r>
      <w:r>
        <w:br/>
        <w:t>Potraživanje (</w:t>
      </w:r>
      <w:proofErr w:type="spellStart"/>
      <w:r>
        <w:t>korek.o</w:t>
      </w:r>
      <w:r>
        <w:t>bračun</w:t>
      </w:r>
      <w:proofErr w:type="spellEnd"/>
      <w:r>
        <w:t xml:space="preserve"> Nikolina Karamarko) - 133,58 eura</w:t>
      </w:r>
      <w:r>
        <w:br/>
        <w:t>Potraživanje za mat. prava 12/2025 - 882,88 eura</w:t>
      </w:r>
      <w:r>
        <w:br/>
        <w:t>Potraživanje za plaću 12/2025 - 159.857,63 eura</w:t>
      </w:r>
      <w:r>
        <w:br/>
        <w:t>Potraživanje za prekovremene PB 12/2025 - 1.583,70 eura</w:t>
      </w:r>
      <w:r>
        <w:br/>
        <w:t>Potraživanje TUR 12/2025 - 2.678,21 eura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14.601,45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16.889,81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115,7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Na podskupini 165 Potraživanja za upravne i administrativne pristojbe, pristojbe po posebnim propisima i naknade škola ima stanje od 16.889,81 eura, povećanje od 15,70% u odnosu na prošlu godinu. Tu se radi o potraživanima po izdanim fakturama za produženi</w:t>
      </w:r>
      <w:r>
        <w:t xml:space="preserve"> boravak.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189.177,29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227.081,14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Stanje obveza na kraju izvještajnog razdoblja na dan 31.12.2025.:</w:t>
      </w:r>
    </w:p>
    <w:p w:rsidR="00054683" w:rsidRDefault="009413CF">
      <w:r>
        <w:t>Obveze za zaposlene (plaća i projekti 12/2025) 177.398,13 eura</w:t>
      </w:r>
      <w:r>
        <w:br/>
        <w:t>Obveze za materijalne rashode 27.907,06 eura</w:t>
      </w:r>
      <w:r>
        <w:br/>
        <w:t>Obveze za naknade građanima i kućanstvima 468,90 eura</w:t>
      </w:r>
      <w:r>
        <w:br/>
      </w:r>
      <w:r>
        <w:lastRenderedPageBreak/>
        <w:t>Ostale tekuće obveze (PDV) 73,40 eura</w:t>
      </w:r>
      <w:r>
        <w:br/>
        <w:t>Obveze za nabavu proizvedene dugotrajne imovine 311,98 e</w:t>
      </w:r>
      <w:r>
        <w:t>ura</w:t>
      </w:r>
      <w:r>
        <w:br/>
        <w:t>Obveze za naplaćene tuđe prihode 152,45 eura</w:t>
      </w:r>
      <w:r>
        <w:br/>
        <w:t>Obveze za EU predujmove (</w:t>
      </w:r>
      <w:proofErr w:type="spellStart"/>
      <w:r>
        <w:t>Rinkluzija</w:t>
      </w:r>
      <w:proofErr w:type="spellEnd"/>
      <w:r>
        <w:t xml:space="preserve"> 8) 13.526,95 eura</w:t>
      </w:r>
      <w:r>
        <w:br/>
        <w:t>Obveze proračunskih korisnika za povrat u proračun 7.242,27 eura</w:t>
      </w:r>
      <w:r>
        <w:br/>
        <w:t>UKUPNO 227.081,14 eura 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</w:t>
            </w:r>
            <w:r>
              <w:rPr>
                <w:b/>
                <w:sz w:val="18"/>
              </w:rPr>
              <w:t>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20.921,67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 xml:space="preserve">Škola ima stanje na skupini 27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u iznosu od 20.921,67 eura zbog nove sheme knjiženje od 01.01.2025. </w:t>
      </w:r>
    </w:p>
    <w:p w:rsidR="00054683" w:rsidRDefault="009413CF">
      <w:r>
        <w:t>Obveze za naplaćene tuđe prihode - 152.45 eura</w:t>
      </w:r>
      <w:r>
        <w:br/>
        <w:t>Obveze za EU predujmove - 13.526.95 eura</w:t>
      </w:r>
      <w:r>
        <w:br/>
        <w:t>Obvez</w:t>
      </w:r>
      <w:r>
        <w:t>e proračunskih korisnika za povrat u proračun - 7.242.27 eura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761.202,81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761.202,81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Vanbilančno je evidentirana zgrada i zemljište Škole, jer su u vlasništvu Grada Rijeke a Škola ima Ugovor o najmu bez naknade. Prema uputama od Ministarstva financija u Okružnici za popunjavanje financijskih izvještaja od 29.9.2023. i 12.1.2023.god potrebn</w:t>
      </w:r>
      <w:r>
        <w:t>o je zgradu i zemljište knjižiti vanbilančno. Knjigovodstvena vrijednost zemljišta u iznosu od 66.944,25 eura i knjigovodstvena vrijednost zgrade Škole u iznosu od 690.317,56 eura.</w:t>
      </w:r>
    </w:p>
    <w:p w:rsidR="00054683" w:rsidRDefault="009413CF">
      <w:pPr>
        <w:jc w:val="both"/>
      </w:pPr>
      <w:r>
        <w:t>Ukupno u vanbilančnoj evidenciji iznos 761.202,81 eura.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 xml:space="preserve">Stanje dospjelih obveza na kraju izvještajnog razdoblja Osnove škole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Franković</w:t>
      </w:r>
      <w:proofErr w:type="spellEnd"/>
      <w:r>
        <w:t xml:space="preserve"> iznosi 2.713,35 eura.</w:t>
      </w:r>
    </w:p>
    <w:p w:rsidR="00054683" w:rsidRDefault="009413CF">
      <w:r>
        <w:lastRenderedPageBreak/>
        <w:t xml:space="preserve">Dospjele obveze obuhvaćaju nepodmirene obveze prema dobavljačima: </w:t>
      </w:r>
      <w:proofErr w:type="spellStart"/>
      <w:r>
        <w:t>Tapess</w:t>
      </w:r>
      <w:proofErr w:type="spellEnd"/>
      <w:r>
        <w:t xml:space="preserve"> d.o.o., </w:t>
      </w:r>
      <w:proofErr w:type="spellStart"/>
      <w:r>
        <w:t>Floramy</w:t>
      </w:r>
      <w:proofErr w:type="spellEnd"/>
      <w:r>
        <w:t xml:space="preserve"> obrt, Ela obrt za krojačke usluge, </w:t>
      </w:r>
      <w:proofErr w:type="spellStart"/>
      <w:r>
        <w:t>Fodora</w:t>
      </w:r>
      <w:proofErr w:type="spellEnd"/>
      <w:r>
        <w:t xml:space="preserve">, </w:t>
      </w:r>
      <w:proofErr w:type="spellStart"/>
      <w:r>
        <w:t>Pert</w:t>
      </w:r>
      <w:proofErr w:type="spellEnd"/>
      <w:r>
        <w:t xml:space="preserve"> d.o.o., S&amp;R </w:t>
      </w:r>
      <w:proofErr w:type="spellStart"/>
      <w:r>
        <w:t>j</w:t>
      </w:r>
      <w:r>
        <w:t>.d.o.o</w:t>
      </w:r>
      <w:proofErr w:type="spellEnd"/>
      <w:r>
        <w:t>. i Udžbenik.hr d.o.o., te Državnom proračunu RH i zaposlenicima škole (putni nalog, R1 račun).</w:t>
      </w:r>
    </w:p>
    <w:p w:rsidR="00054683" w:rsidRDefault="009413CF">
      <w:pPr>
        <w:jc w:val="both"/>
      </w:pPr>
      <w:r>
        <w:t xml:space="preserve">Od navedenih dobavljača, istaknula bih S&amp;R </w:t>
      </w:r>
      <w:proofErr w:type="spellStart"/>
      <w:r>
        <w:t>j.d.o.o</w:t>
      </w:r>
      <w:proofErr w:type="spellEnd"/>
      <w:r>
        <w:t>. s dospjelom obvezom od 1.728,00 eura. Račun nije podmiren prema roku dospijeća iz razloga što nadležno</w:t>
      </w:r>
      <w:r>
        <w:t xml:space="preserve"> ministarstvo doznačuje sredstva krajem tekućeg mjeseca za prethodni mjesec.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naplaćene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Obveze za naplaćene tuđe prihode iznose 152,45 eura, a odnose se na obveze povrata u Državni proračunu RH i povrata novca za produženi boravak (naknadno zaprimljeno rješenje "Socijalni program grada Rijeke).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</w:t>
            </w:r>
            <w:r>
              <w:rPr>
                <w:b/>
                <w:sz w:val="18"/>
              </w:rPr>
              <w:t>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EU predujmove dane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13.526,95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 xml:space="preserve">Iznos Obveze za EU predujmove dane od institucija i tijela EU škole na dan 31.12.2025. je 13.526,95 eura,  koje se odnose na provođenje projekta </w:t>
      </w:r>
      <w:proofErr w:type="spellStart"/>
      <w:r>
        <w:t>Rinkluzija</w:t>
      </w:r>
      <w:proofErr w:type="spellEnd"/>
      <w:r>
        <w:t xml:space="preserve"> 8 – Riječki model podrške učenicima s poteškoćama – EU. 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proračunskih korisnika za povrat u proračun - 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7.242,27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Škola ima stanje na 27612 Obveze proračunskih korisnika za povrat u proračun - bolovanje HZZO u iznosu od 7.242,27 eura zbog nove sheme knjiženje od 01.01.2025. 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Tuđa imovina dobivena na 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761.202,81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761.202,81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t>Vanbilančno je evidentirana zgrada i zemljište Škole, jer su u vlasništvu Grada Rijeke a Škola ima Ugovor o najmu bez naknade. Prema uputama od Ministarstva financija u Okružnici za popunjavanje financijskih izvještaja od 29.9.2023. i 12.1.2023.god potrebn</w:t>
      </w:r>
      <w:r>
        <w:t>o je zgradu i zemljište knjižiti vanbilančno. Knjigovodstvena vrijednost zemljišta u iznosu od 66.944,25 eura i knjigovodstvena vrijednost zgrade Škole u iznosu od 690.317,56 eura.</w:t>
      </w:r>
    </w:p>
    <w:p w:rsidR="00054683" w:rsidRDefault="009413CF">
      <w:r>
        <w:t>Ukupno u vanbilančnoj evidenciji iznos 761.202,81 eura.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b/>
          <w:sz w:val="28"/>
        </w:rPr>
        <w:t>Izvještaj o rashod</w:t>
      </w:r>
      <w:r>
        <w:rPr>
          <w:b/>
          <w:sz w:val="28"/>
        </w:rPr>
        <w:t>ima prema funkcijskoj klasifikaciji</w:t>
      </w:r>
    </w:p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2.347.110,58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2.691.046,32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ŠIFRA:-0912-rashodi poslovanja vezani uz osnovno obrazovanje 2.539.649,31 eura</w:t>
      </w:r>
    </w:p>
    <w:p w:rsidR="00054683" w:rsidRDefault="009413CF">
      <w:pPr>
        <w:jc w:val="both"/>
      </w:pPr>
      <w:r>
        <w:t>ŠIFRA:-096 - dodatne usluge u obrazovanju 151.397,01 eura</w:t>
      </w:r>
    </w:p>
    <w:p w:rsidR="00054683" w:rsidRDefault="009413CF">
      <w:pPr>
        <w:jc w:val="both"/>
      </w:pPr>
      <w:r>
        <w:t>(prehrana učenika, prijevoz učenika u Grad i na terensku nastavu, prijevoz za roditelje učenika s teškoćama kojima je odobreno korištenje osobnog automobila za prijevoz učenika od kuće do Škole i natrag i ostale dodatne usluge .)</w:t>
      </w:r>
    </w:p>
    <w:p w:rsidR="00054683" w:rsidRDefault="009413CF">
      <w:pPr>
        <w:jc w:val="both"/>
      </w:pPr>
      <w:r>
        <w:t>Rashodi su veći u odnosu n</w:t>
      </w:r>
      <w:r>
        <w:t>a prethodno razdoblje za 14,70%. </w:t>
      </w:r>
    </w:p>
    <w:p w:rsidR="00054683" w:rsidRDefault="009413CF">
      <w:pPr>
        <w:jc w:val="both"/>
      </w:pPr>
      <w:r>
        <w:t>UKUPNO rashodi poslovanja u 2025. iznose 2.691.046,32 eura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</w:t>
            </w:r>
            <w:r>
              <w:rPr>
                <w:sz w:val="18"/>
              </w:rPr>
              <w:t>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31.797,02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Iznos smanjenja Promjene u vrijednosti imovine (šifre P001+P008) od 31.797,02 eura odnosi se na godišnji ispravak vrijednosti dugotrajne imovine (Čl. 121. Pravilnika o proračunskom računovodstvu - Ispravak vrijednosti dugotrajne imovine koji se provodi kra</w:t>
      </w:r>
      <w:r>
        <w:t xml:space="preserve">jem svake godine, </w:t>
      </w:r>
      <w:r>
        <w:lastRenderedPageBreak/>
        <w:t>tijekom cijelog procijenjenog korisnog vijeka upotrebe ili jednokratno prilikom stavljanja u upotrebu preko podskupine 915.)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Promjene u </w:t>
            </w:r>
            <w:r>
              <w:rPr>
                <w:sz w:val="18"/>
              </w:rPr>
              <w:t>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5.838,32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>Prema Odluci Školskog odbora smanjenje u obujmu imovine knjižnice, odnosno knjižnične građe iz fonda školske knjižnice za 1.028,57 eura.</w:t>
      </w:r>
    </w:p>
    <w:p w:rsidR="00054683" w:rsidRDefault="009413CF">
      <w:pPr>
        <w:jc w:val="both"/>
      </w:pPr>
      <w:r>
        <w:t>Prema Odluci čelnika ustanove o zbrinjavanju oštećene dugotrajne imovine smanjen je obujam iste za iznos od 4.809,75 eura.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izvještajnog </w:t>
            </w:r>
            <w:r>
              <w:rPr>
                <w:sz w:val="18"/>
              </w:rPr>
              <w:t>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227.081,14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r>
        <w:br/>
        <w:t>Stanje obveza na kraju izvještajnog razdoblja na dan 31.12.2025.:</w:t>
      </w:r>
    </w:p>
    <w:p w:rsidR="00054683" w:rsidRDefault="009413CF">
      <w:pPr>
        <w:pStyle w:val="Odlomakpopisa"/>
        <w:numPr>
          <w:ilvl w:val="0"/>
          <w:numId w:val="1"/>
        </w:numPr>
      </w:pPr>
      <w:r>
        <w:t>Obveze za zaposlene (plaća i projekti 12/2025) 177.398,13 eura</w:t>
      </w:r>
    </w:p>
    <w:p w:rsidR="00054683" w:rsidRDefault="009413CF">
      <w:pPr>
        <w:pStyle w:val="Odlomakpopisa"/>
        <w:numPr>
          <w:ilvl w:val="0"/>
          <w:numId w:val="1"/>
        </w:numPr>
      </w:pPr>
      <w:r>
        <w:t>Obveze za materijalne rashode 27.907,06 eura</w:t>
      </w:r>
    </w:p>
    <w:p w:rsidR="00054683" w:rsidRDefault="009413CF">
      <w:pPr>
        <w:pStyle w:val="Odlomakpopisa"/>
        <w:numPr>
          <w:ilvl w:val="0"/>
          <w:numId w:val="1"/>
        </w:numPr>
      </w:pPr>
      <w:r>
        <w:t>Obveze za naknade građanima i kućanstvima 468,90 eura</w:t>
      </w:r>
    </w:p>
    <w:p w:rsidR="00054683" w:rsidRDefault="009413CF">
      <w:pPr>
        <w:pStyle w:val="Odlomakpopisa"/>
        <w:numPr>
          <w:ilvl w:val="0"/>
          <w:numId w:val="1"/>
        </w:numPr>
      </w:pPr>
      <w:r>
        <w:t>Ostale tekuće obveze (PDV) 73,40 eura</w:t>
      </w:r>
    </w:p>
    <w:p w:rsidR="00054683" w:rsidRDefault="009413CF">
      <w:pPr>
        <w:pStyle w:val="Odlomakpopisa"/>
        <w:numPr>
          <w:ilvl w:val="0"/>
          <w:numId w:val="1"/>
        </w:numPr>
      </w:pPr>
      <w:r>
        <w:t>Obveze za nabavu proizvedene dugotrajne imovine 311,98 eura</w:t>
      </w:r>
    </w:p>
    <w:p w:rsidR="00054683" w:rsidRDefault="009413CF">
      <w:pPr>
        <w:pStyle w:val="Odlomakpopisa"/>
        <w:numPr>
          <w:ilvl w:val="0"/>
          <w:numId w:val="1"/>
        </w:numPr>
      </w:pPr>
      <w:r>
        <w:t>Obveze za naplaćene tuđe prihode 152,45 eura</w:t>
      </w:r>
    </w:p>
    <w:p w:rsidR="00054683" w:rsidRDefault="009413CF">
      <w:pPr>
        <w:pStyle w:val="Odlomakpopisa"/>
        <w:numPr>
          <w:ilvl w:val="0"/>
          <w:numId w:val="1"/>
        </w:numPr>
      </w:pPr>
      <w:r>
        <w:t>Obveze za EU predujmove (</w:t>
      </w:r>
      <w:proofErr w:type="spellStart"/>
      <w:r>
        <w:t>Rinkluzija</w:t>
      </w:r>
      <w:proofErr w:type="spellEnd"/>
      <w:r>
        <w:t xml:space="preserve"> 8) 13.526,95 eura</w:t>
      </w:r>
    </w:p>
    <w:p w:rsidR="00054683" w:rsidRDefault="009413CF">
      <w:pPr>
        <w:pStyle w:val="Odlomakpopisa"/>
        <w:numPr>
          <w:ilvl w:val="0"/>
          <w:numId w:val="1"/>
        </w:numPr>
      </w:pPr>
      <w:r>
        <w:t>Obvez</w:t>
      </w:r>
      <w:r>
        <w:t>e proračunskih korisnika za povrat u proračun 7.242,27 eura</w:t>
      </w:r>
    </w:p>
    <w:p w:rsidR="00054683" w:rsidRDefault="009413CF">
      <w:pPr>
        <w:pStyle w:val="Odlomakpopisa"/>
        <w:numPr>
          <w:ilvl w:val="0"/>
          <w:numId w:val="1"/>
        </w:numPr>
      </w:pPr>
      <w:r>
        <w:rPr>
          <w:b/>
        </w:rPr>
        <w:t>UKUPNO 227.081,14 eura</w:t>
      </w:r>
    </w:p>
    <w:p w:rsidR="00054683" w:rsidRDefault="009413CF">
      <w:pPr>
        <w:pStyle w:val="Odlomakpopisa"/>
      </w:pPr>
      <w:r>
        <w:rPr>
          <w:b/>
        </w:rPr>
        <w:t> 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54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5468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05468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54683" w:rsidRDefault="009413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54683" w:rsidRDefault="00054683">
      <w:pPr>
        <w:spacing w:after="0"/>
      </w:pPr>
    </w:p>
    <w:p w:rsidR="00054683" w:rsidRDefault="009413CF">
      <w:pPr>
        <w:jc w:val="both"/>
      </w:pPr>
      <w:r>
        <w:t xml:space="preserve">Stanje dospjelih obveza na kraju izvještajnog razdoblja Osnove škole </w:t>
      </w:r>
      <w:proofErr w:type="spellStart"/>
      <w:r>
        <w:t>Fran</w:t>
      </w:r>
      <w:proofErr w:type="spellEnd"/>
      <w:r>
        <w:t xml:space="preserve"> </w:t>
      </w:r>
      <w:proofErr w:type="spellStart"/>
      <w:r>
        <w:t>Franković</w:t>
      </w:r>
      <w:proofErr w:type="spellEnd"/>
      <w:r>
        <w:t xml:space="preserve"> iznosi 2.713,35 eura.</w:t>
      </w:r>
    </w:p>
    <w:p w:rsidR="00054683" w:rsidRDefault="009413CF">
      <w:pPr>
        <w:jc w:val="both"/>
      </w:pPr>
      <w:r>
        <w:lastRenderedPageBreak/>
        <w:t xml:space="preserve">Dospjele obveze obuhvaćaju nepodmirene obveze prema dobavljačima: </w:t>
      </w:r>
      <w:proofErr w:type="spellStart"/>
      <w:r>
        <w:t>Tapess</w:t>
      </w:r>
      <w:proofErr w:type="spellEnd"/>
      <w:r>
        <w:t xml:space="preserve"> d.o.o., </w:t>
      </w:r>
      <w:proofErr w:type="spellStart"/>
      <w:r>
        <w:t>Floramy</w:t>
      </w:r>
      <w:proofErr w:type="spellEnd"/>
      <w:r>
        <w:t xml:space="preserve"> obrt, Ela obrt za krojačke usluge, </w:t>
      </w:r>
      <w:proofErr w:type="spellStart"/>
      <w:r>
        <w:t>Fodora</w:t>
      </w:r>
      <w:proofErr w:type="spellEnd"/>
      <w:r>
        <w:t xml:space="preserve">, </w:t>
      </w:r>
      <w:proofErr w:type="spellStart"/>
      <w:r>
        <w:t>Pert</w:t>
      </w:r>
      <w:proofErr w:type="spellEnd"/>
      <w:r>
        <w:t xml:space="preserve"> d.o.o., S&amp;R </w:t>
      </w:r>
      <w:proofErr w:type="spellStart"/>
      <w:r>
        <w:t>j.d.o.o</w:t>
      </w:r>
      <w:proofErr w:type="spellEnd"/>
      <w:r>
        <w:t>. i Udžbenik.hr d.o.o., te Državnom proračunu RH i zaposlenicima škole (putni nalog, R1 račun).</w:t>
      </w:r>
    </w:p>
    <w:p w:rsidR="00054683" w:rsidRDefault="009413CF">
      <w:pPr>
        <w:jc w:val="both"/>
      </w:pPr>
      <w:r>
        <w:t>Od n</w:t>
      </w:r>
      <w:r>
        <w:t xml:space="preserve">avedenih dobavljača, istaknula bih S&amp;R </w:t>
      </w:r>
      <w:proofErr w:type="spellStart"/>
      <w:r>
        <w:t>j.d.o.o</w:t>
      </w:r>
      <w:proofErr w:type="spellEnd"/>
      <w:r>
        <w:t>. s dospjelom obvezom od 1.728,00 eura. Račun nije podmiren prema roku dospijeća iz razloga što nadležno ministarstvo doznačuje sredstva krajem tekućeg mjeseca za prethodni mjesec.</w:t>
      </w:r>
    </w:p>
    <w:p w:rsidR="00054683" w:rsidRDefault="00054683"/>
    <w:p w:rsidR="00054683" w:rsidRDefault="009413CF">
      <w:pPr>
        <w:keepNext/>
        <w:spacing w:line="240" w:lineRule="auto"/>
        <w:jc w:val="center"/>
      </w:pPr>
      <w:r>
        <w:rPr>
          <w:sz w:val="28"/>
        </w:rPr>
        <w:t>Bilješka 38.</w:t>
      </w:r>
    </w:p>
    <w:p w:rsidR="00054683" w:rsidRDefault="009413CF">
      <w:pPr>
        <w:spacing w:line="240" w:lineRule="auto"/>
        <w:jc w:val="both"/>
      </w:pPr>
      <w:r>
        <w:rPr>
          <w:b/>
        </w:rPr>
        <w:t>EU izvještaj</w:t>
      </w:r>
    </w:p>
    <w:p w:rsidR="00054683" w:rsidRDefault="009413CF">
      <w:pPr>
        <w:jc w:val="both"/>
      </w:pPr>
      <w:r>
        <w:t xml:space="preserve">U </w:t>
      </w:r>
      <w:r>
        <w:t xml:space="preserve">izvještajnom razdoblju ostvaren je prihod u iznosu od 17.065.09 eura, od strane EU a odnosi se na provođenje projekta </w:t>
      </w:r>
      <w:proofErr w:type="spellStart"/>
      <w:r>
        <w:t>Rinkluzija</w:t>
      </w:r>
      <w:proofErr w:type="spellEnd"/>
      <w:r>
        <w:t xml:space="preserve"> 8 – Riječki model podrške učenicima s poteškoćama – EU. </w:t>
      </w:r>
    </w:p>
    <w:p w:rsidR="00054683" w:rsidRDefault="009413CF">
      <w:pPr>
        <w:jc w:val="both"/>
      </w:pPr>
      <w:r>
        <w:t>U izvještajnom razdoblju ostvaren je rashod u iznosu od 21.248,86 eura</w:t>
      </w:r>
      <w:r>
        <w:t>. Od tog iznosa na rashod za zaposlene (podskupina 31) odnosi se 19.967,18 eura, a na materijalne rashode odnosi se 1.281,68 eura.</w:t>
      </w:r>
    </w:p>
    <w:p w:rsidR="00054683" w:rsidRDefault="00054683"/>
    <w:sectPr w:rsidR="0005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21092"/>
    <w:multiLevelType w:val="hybridMultilevel"/>
    <w:tmpl w:val="EDB829EC"/>
    <w:name w:val="disc"/>
    <w:lvl w:ilvl="0" w:tplc="CAFEE564">
      <w:start w:val="1"/>
      <w:numFmt w:val="bullet"/>
      <w:lvlText w:val="•"/>
      <w:lvlJc w:val="left"/>
      <w:pPr>
        <w:ind w:left="720" w:hanging="360"/>
      </w:pPr>
    </w:lvl>
    <w:lvl w:ilvl="1" w:tplc="BD72761E">
      <w:start w:val="1"/>
      <w:numFmt w:val="bullet"/>
      <w:lvlText w:val="•"/>
      <w:lvlJc w:val="left"/>
      <w:pPr>
        <w:ind w:left="1440" w:hanging="360"/>
      </w:pPr>
    </w:lvl>
    <w:lvl w:ilvl="2" w:tplc="E1FC072E">
      <w:start w:val="1"/>
      <w:numFmt w:val="bullet"/>
      <w:lvlText w:val="•"/>
      <w:lvlJc w:val="left"/>
      <w:pPr>
        <w:ind w:left="2160" w:hanging="360"/>
      </w:pPr>
    </w:lvl>
    <w:lvl w:ilvl="3" w:tplc="C1B49386">
      <w:start w:val="1"/>
      <w:numFmt w:val="bullet"/>
      <w:lvlText w:val="•"/>
      <w:lvlJc w:val="left"/>
      <w:pPr>
        <w:ind w:left="2880" w:hanging="360"/>
      </w:pPr>
    </w:lvl>
    <w:lvl w:ilvl="4" w:tplc="0EBC96E2">
      <w:start w:val="1"/>
      <w:numFmt w:val="bullet"/>
      <w:lvlText w:val="•"/>
      <w:lvlJc w:val="left"/>
      <w:pPr>
        <w:ind w:left="3600" w:hanging="360"/>
      </w:pPr>
    </w:lvl>
    <w:lvl w:ilvl="5" w:tplc="CE66DF3C">
      <w:start w:val="1"/>
      <w:numFmt w:val="bullet"/>
      <w:lvlText w:val="•"/>
      <w:lvlJc w:val="left"/>
      <w:pPr>
        <w:ind w:left="4320" w:hanging="360"/>
      </w:pPr>
    </w:lvl>
    <w:lvl w:ilvl="6" w:tplc="93EEB340">
      <w:start w:val="1"/>
      <w:numFmt w:val="bullet"/>
      <w:lvlText w:val="•"/>
      <w:lvlJc w:val="left"/>
      <w:pPr>
        <w:ind w:left="5040" w:hanging="360"/>
      </w:pPr>
    </w:lvl>
    <w:lvl w:ilvl="7" w:tplc="3730B0C8">
      <w:start w:val="1"/>
      <w:numFmt w:val="bullet"/>
      <w:lvlText w:val="•"/>
      <w:lvlJc w:val="left"/>
      <w:pPr>
        <w:ind w:left="5760" w:hanging="360"/>
      </w:pPr>
    </w:lvl>
    <w:lvl w:ilvl="8" w:tplc="9E2C9FC0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83"/>
    <w:rsid w:val="00054683"/>
    <w:rsid w:val="0094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AADD45-C4C4-46D5-A21A-927624D32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1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3745</Words>
  <Characters>21351</Characters>
  <Application>Microsoft Office Word</Application>
  <DocSecurity>0</DocSecurity>
  <Lines>177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2026-01-30T12:01:00Z</cp:lastPrinted>
  <dcterms:created xsi:type="dcterms:W3CDTF">2026-01-30T12:02:00Z</dcterms:created>
  <dcterms:modified xsi:type="dcterms:W3CDTF">2026-01-30T12:02:00Z</dcterms:modified>
</cp:coreProperties>
</file>